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52E5" w14:textId="3D997BDE" w:rsidR="00626F73" w:rsidRPr="00C6520F" w:rsidRDefault="00626F73" w:rsidP="00626F73">
      <w:pPr>
        <w:ind w:left="2880" w:hanging="2880"/>
        <w:jc w:val="center"/>
        <w:rPr>
          <w:rFonts w:eastAsia="Times New Roman" w:cs="Times New Roman"/>
          <w:bCs/>
          <w:color w:val="auto"/>
          <w:sz w:val="28"/>
          <w:szCs w:val="28"/>
          <w:bdr w:val="single" w:sz="12" w:space="0" w:color="auto"/>
        </w:rPr>
      </w:pPr>
      <w:r w:rsidRPr="00C6520F">
        <w:rPr>
          <w:rFonts w:eastAsia="Times New Roman" w:cs="Times New Roman"/>
          <w:bCs/>
          <w:color w:val="auto"/>
          <w:sz w:val="28"/>
          <w:szCs w:val="28"/>
          <w:bdr w:val="single" w:sz="12" w:space="0" w:color="auto"/>
        </w:rPr>
        <w:t>20</w:t>
      </w:r>
      <w:r w:rsidR="00336743">
        <w:rPr>
          <w:rFonts w:eastAsia="Times New Roman" w:cs="Times New Roman"/>
          <w:bCs/>
          <w:color w:val="auto"/>
          <w:sz w:val="28"/>
          <w:szCs w:val="28"/>
          <w:bdr w:val="single" w:sz="12" w:space="0" w:color="auto"/>
        </w:rPr>
        <w:t>20</w:t>
      </w:r>
      <w:r w:rsidRPr="00C6520F">
        <w:rPr>
          <w:rFonts w:eastAsia="Times New Roman" w:cs="Times New Roman"/>
          <w:bCs/>
          <w:color w:val="auto"/>
          <w:sz w:val="28"/>
          <w:szCs w:val="28"/>
          <w:bdr w:val="single" w:sz="12" w:space="0" w:color="auto"/>
        </w:rPr>
        <w:t xml:space="preserve"> MSEA Representative Assembly</w:t>
      </w:r>
    </w:p>
    <w:p w14:paraId="7524F614" w14:textId="77777777" w:rsidR="00626F73" w:rsidRPr="00A60885" w:rsidRDefault="00626F73" w:rsidP="00626F73">
      <w:pPr>
        <w:ind w:left="2880" w:hanging="2880"/>
        <w:rPr>
          <w:rFonts w:eastAsia="Times New Roman" w:cs="Times New Roman"/>
          <w:b/>
          <w:bCs/>
          <w:color w:val="auto"/>
          <w:sz w:val="28"/>
          <w:szCs w:val="28"/>
        </w:rPr>
      </w:pPr>
    </w:p>
    <w:p w14:paraId="260143C5" w14:textId="77777777" w:rsidR="00D54B8B" w:rsidRPr="00A60885" w:rsidRDefault="00D54B8B" w:rsidP="00D54B8B">
      <w:pPr>
        <w:rPr>
          <w:rFonts w:eastAsia="Times New Roman" w:cs="Times New Roman"/>
          <w:color w:val="auto"/>
          <w:sz w:val="28"/>
          <w:szCs w:val="28"/>
        </w:rPr>
      </w:pPr>
    </w:p>
    <w:p w14:paraId="1991A2A1" w14:textId="767D55FB" w:rsidR="00D54B8B" w:rsidRPr="00A60885" w:rsidRDefault="00D54B8B" w:rsidP="00D54B8B">
      <w:pPr>
        <w:rPr>
          <w:rFonts w:eastAsia="Times New Roman" w:cs="Times New Roman"/>
          <w:color w:val="auto"/>
          <w:sz w:val="28"/>
          <w:szCs w:val="28"/>
        </w:rPr>
      </w:pPr>
      <w:r w:rsidRPr="00A60885">
        <w:rPr>
          <w:rFonts w:eastAsia="Times New Roman" w:cs="Times New Roman"/>
          <w:b/>
          <w:bCs/>
          <w:sz w:val="28"/>
          <w:szCs w:val="28"/>
          <w:u w:val="single"/>
        </w:rPr>
        <w:t xml:space="preserve">PROPOSED BYLAW AMENDMENT </w:t>
      </w:r>
      <w:r w:rsidR="00A515DC">
        <w:rPr>
          <w:rFonts w:eastAsia="Times New Roman" w:cs="Times New Roman"/>
          <w:b/>
          <w:bCs/>
          <w:sz w:val="28"/>
          <w:szCs w:val="28"/>
          <w:u w:val="single"/>
        </w:rPr>
        <w:t>2</w:t>
      </w:r>
      <w:r w:rsidRPr="00A60885">
        <w:rPr>
          <w:rFonts w:eastAsia="Times New Roman" w:cs="Times New Roman"/>
          <w:b/>
          <w:bCs/>
          <w:sz w:val="28"/>
          <w:szCs w:val="28"/>
          <w:u w:val="single"/>
        </w:rPr>
        <w:t>:</w:t>
      </w:r>
    </w:p>
    <w:p w14:paraId="0318A799" w14:textId="77777777" w:rsidR="009D43E1" w:rsidRDefault="009D43E1" w:rsidP="00D54B8B">
      <w:pPr>
        <w:rPr>
          <w:rFonts w:eastAsia="Times New Roman" w:cs="Times New Roman"/>
          <w:szCs w:val="24"/>
        </w:rPr>
      </w:pPr>
    </w:p>
    <w:p w14:paraId="63E25965" w14:textId="77777777" w:rsidR="006D79FF" w:rsidRDefault="006D79FF" w:rsidP="00D54B8B">
      <w:pPr>
        <w:rPr>
          <w:rFonts w:eastAsia="Times New Roman" w:cs="Times New Roman"/>
          <w:szCs w:val="24"/>
        </w:rPr>
      </w:pPr>
    </w:p>
    <w:p w14:paraId="40BA26BB" w14:textId="77777777" w:rsidR="00A026E0" w:rsidRPr="00A026E0" w:rsidRDefault="00A026E0" w:rsidP="00336743">
      <w:pPr>
        <w:rPr>
          <w:rFonts w:cs="Times New Roman"/>
          <w:sz w:val="28"/>
          <w:szCs w:val="28"/>
        </w:rPr>
      </w:pPr>
      <w:r w:rsidRPr="00A026E0">
        <w:rPr>
          <w:rFonts w:cs="Times New Roman"/>
          <w:sz w:val="28"/>
          <w:szCs w:val="28"/>
        </w:rPr>
        <w:t xml:space="preserve">Article X-Board of Directors </w:t>
      </w:r>
      <w:r w:rsidRPr="00A026E0">
        <w:rPr>
          <w:rFonts w:eastAsia="Times New Roman" w:cs="Times New Roman"/>
          <w:sz w:val="28"/>
          <w:szCs w:val="28"/>
        </w:rPr>
        <w:t xml:space="preserve">- </w:t>
      </w:r>
      <w:r w:rsidRPr="00A026E0">
        <w:rPr>
          <w:rFonts w:cs="Times New Roman"/>
          <w:sz w:val="28"/>
          <w:szCs w:val="28"/>
        </w:rPr>
        <w:t xml:space="preserve">Section 1. Powers </w:t>
      </w:r>
    </w:p>
    <w:p w14:paraId="2250CDC1" w14:textId="77777777" w:rsidR="00A026E0" w:rsidRPr="00A026E0" w:rsidRDefault="00A026E0" w:rsidP="00336743">
      <w:pPr>
        <w:rPr>
          <w:rFonts w:cs="Times New Roman"/>
          <w:sz w:val="28"/>
          <w:szCs w:val="28"/>
        </w:rPr>
      </w:pPr>
    </w:p>
    <w:p w14:paraId="4E47D640" w14:textId="10F220E9" w:rsidR="00336743" w:rsidRPr="00A026E0" w:rsidRDefault="00A026E0" w:rsidP="00336743">
      <w:pPr>
        <w:rPr>
          <w:rFonts w:cs="Times New Roman"/>
          <w:sz w:val="28"/>
          <w:szCs w:val="28"/>
        </w:rPr>
      </w:pPr>
      <w:r w:rsidRPr="00A026E0">
        <w:rPr>
          <w:rFonts w:cs="Times New Roman"/>
          <w:sz w:val="28"/>
          <w:szCs w:val="28"/>
        </w:rPr>
        <w:t xml:space="preserve">The Board of Directors shall be Responsible for the fiscal affairs and the general management of the Association. </w:t>
      </w:r>
      <w:r w:rsidRPr="00A026E0">
        <w:rPr>
          <w:rFonts w:cs="Times New Roman"/>
          <w:b/>
          <w:bCs/>
          <w:sz w:val="28"/>
          <w:szCs w:val="28"/>
          <w:u w:val="single"/>
        </w:rPr>
        <w:t>THE POWERS OF THE BOARD OF DIRECTORS SHALL INCLUDE, BUT NOT BE LIMITED TO, THE FOLLOWING.</w:t>
      </w:r>
      <w:r w:rsidRPr="00A026E0">
        <w:rPr>
          <w:rFonts w:cs="Times New Roman"/>
          <w:sz w:val="28"/>
          <w:szCs w:val="28"/>
        </w:rPr>
        <w:t xml:space="preserve"> It shall:</w:t>
      </w:r>
    </w:p>
    <w:p w14:paraId="33E53C2C" w14:textId="7C42404B" w:rsidR="00A026E0" w:rsidRPr="00A026E0" w:rsidRDefault="00A026E0" w:rsidP="00336743">
      <w:pPr>
        <w:rPr>
          <w:rFonts w:cs="Times New Roman"/>
          <w:sz w:val="28"/>
          <w:szCs w:val="28"/>
        </w:rPr>
      </w:pPr>
    </w:p>
    <w:p w14:paraId="14A9750F" w14:textId="090C48BC" w:rsidR="00A026E0" w:rsidRPr="003E0F5C" w:rsidRDefault="003E0F5C" w:rsidP="003E0F5C">
      <w:pPr>
        <w:rPr>
          <w:rFonts w:cs="Times New Roman"/>
          <w:sz w:val="28"/>
          <w:szCs w:val="28"/>
        </w:rPr>
      </w:pPr>
      <w:r w:rsidRPr="003E0F5C">
        <w:rPr>
          <w:rFonts w:cs="Times New Roman"/>
          <w:sz w:val="28"/>
          <w:szCs w:val="28"/>
        </w:rPr>
        <w:t xml:space="preserve">    </w:t>
      </w:r>
      <w:r>
        <w:rPr>
          <w:rFonts w:cs="Times New Roman"/>
          <w:sz w:val="28"/>
          <w:szCs w:val="28"/>
        </w:rPr>
        <w:t xml:space="preserve">  </w:t>
      </w:r>
      <w:bookmarkStart w:id="0" w:name="_GoBack"/>
      <w:bookmarkEnd w:id="0"/>
      <w:r w:rsidR="00A026E0" w:rsidRPr="003E0F5C">
        <w:rPr>
          <w:rFonts w:cs="Times New Roman"/>
          <w:sz w:val="28"/>
          <w:szCs w:val="28"/>
        </w:rPr>
        <w:t xml:space="preserve">a. </w:t>
      </w:r>
      <w:proofErr w:type="gramStart"/>
      <w:r w:rsidR="00A026E0" w:rsidRPr="003E0F5C">
        <w:rPr>
          <w:rFonts w:cs="Times New Roman"/>
          <w:sz w:val="28"/>
          <w:szCs w:val="28"/>
        </w:rPr>
        <w:t>provide</w:t>
      </w:r>
      <w:proofErr w:type="gramEnd"/>
      <w:r w:rsidR="00A026E0" w:rsidRPr="003E0F5C">
        <w:rPr>
          <w:rFonts w:cs="Times New Roman"/>
          <w:sz w:val="28"/>
          <w:szCs w:val="28"/>
        </w:rPr>
        <w:t xml:space="preserve"> for the interpretation and implementation of established policies of the A</w:t>
      </w:r>
      <w:r w:rsidR="00A026E0" w:rsidRPr="003E0F5C">
        <w:rPr>
          <w:rFonts w:eastAsia="Times New Roman" w:cs="Times New Roman"/>
          <w:sz w:val="28"/>
          <w:szCs w:val="28"/>
        </w:rPr>
        <w:t>sso</w:t>
      </w:r>
      <w:r w:rsidR="00A026E0" w:rsidRPr="003E0F5C">
        <w:rPr>
          <w:rFonts w:cs="Times New Roman"/>
          <w:sz w:val="28"/>
          <w:szCs w:val="28"/>
        </w:rPr>
        <w:t>ciation;</w:t>
      </w:r>
    </w:p>
    <w:p w14:paraId="62AFC1B6"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b.   provide for interim direction in the absence of existing policies between meetings of the Representative Assembly;</w:t>
      </w:r>
    </w:p>
    <w:p w14:paraId="0BA756BD"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xml:space="preserve">      c.   prepare the proposed </w:t>
      </w:r>
      <w:proofErr w:type="gramStart"/>
      <w:r w:rsidRPr="003E0F5C">
        <w:rPr>
          <w:rFonts w:eastAsia="Times New Roman" w:cs="Times New Roman"/>
          <w:sz w:val="28"/>
          <w:szCs w:val="28"/>
        </w:rPr>
        <w:t>two year</w:t>
      </w:r>
      <w:proofErr w:type="gramEnd"/>
      <w:r w:rsidRPr="003E0F5C">
        <w:rPr>
          <w:rFonts w:eastAsia="Times New Roman" w:cs="Times New Roman"/>
          <w:sz w:val="28"/>
          <w:szCs w:val="28"/>
        </w:rPr>
        <w:t xml:space="preserve"> budget which shall be presented to the Representative Assembly for adoption in the spring of the even numbered years;</w:t>
      </w:r>
    </w:p>
    <w:p w14:paraId="2DB73F31"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d.   appoint staff members upon nomination by the Executive Director and determine their compensation, retirement and tenure;</w:t>
      </w:r>
    </w:p>
    <w:p w14:paraId="6A000CEC"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e.   provide for the affiliation and recommend disaffiliation of local associations in accordance with these bylaws;</w:t>
      </w:r>
    </w:p>
    <w:p w14:paraId="1EFC9693"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f.    affiliate such departments as it may deem advisable;</w:t>
      </w:r>
    </w:p>
    <w:p w14:paraId="5B293AE6"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g.   approve appointments by the President to fill vacancies on the MSEA Retired Advisory Council;</w:t>
      </w:r>
    </w:p>
    <w:p w14:paraId="57C57DEB" w14:textId="77777777" w:rsidR="003E0F5C" w:rsidRPr="003E0F5C" w:rsidRDefault="003E0F5C" w:rsidP="003E0F5C">
      <w:pPr>
        <w:spacing w:line="240" w:lineRule="atLeast"/>
        <w:rPr>
          <w:rFonts w:ascii="Berthold Baskerville" w:eastAsia="Times New Roman" w:hAnsi="Berthold Baskerville" w:cs="Times New Roman"/>
          <w:sz w:val="28"/>
          <w:szCs w:val="28"/>
        </w:rPr>
      </w:pPr>
      <w:r w:rsidRPr="003E0F5C">
        <w:rPr>
          <w:rFonts w:eastAsia="Times New Roman" w:cs="Times New Roman"/>
          <w:sz w:val="28"/>
          <w:szCs w:val="28"/>
        </w:rPr>
        <w:t>      h.   approve committee appointments made by the President;</w:t>
      </w:r>
    </w:p>
    <w:p w14:paraId="4E7C7D95" w14:textId="77777777" w:rsidR="003E0F5C" w:rsidRPr="003E0F5C" w:rsidRDefault="003E0F5C" w:rsidP="003E0F5C">
      <w:pPr>
        <w:pStyle w:val="Default"/>
        <w:rPr>
          <w:strike/>
          <w:sz w:val="28"/>
          <w:szCs w:val="28"/>
        </w:rPr>
      </w:pPr>
      <w:r w:rsidRPr="003E0F5C">
        <w:rPr>
          <w:rFonts w:eastAsia="Times New Roman"/>
          <w:sz w:val="28"/>
          <w:szCs w:val="28"/>
        </w:rPr>
        <w:t>      </w:t>
      </w:r>
      <w:proofErr w:type="spellStart"/>
      <w:r w:rsidRPr="003E0F5C">
        <w:rPr>
          <w:sz w:val="28"/>
          <w:szCs w:val="28"/>
        </w:rPr>
        <w:t>i</w:t>
      </w:r>
      <w:proofErr w:type="spellEnd"/>
      <w:r w:rsidRPr="003E0F5C">
        <w:rPr>
          <w:sz w:val="28"/>
          <w:szCs w:val="28"/>
        </w:rPr>
        <w:t xml:space="preserve">. </w:t>
      </w:r>
      <w:proofErr w:type="gramStart"/>
      <w:r w:rsidRPr="003E0F5C">
        <w:rPr>
          <w:sz w:val="28"/>
          <w:szCs w:val="28"/>
        </w:rPr>
        <w:t>provide</w:t>
      </w:r>
      <w:proofErr w:type="gramEnd"/>
      <w:r w:rsidRPr="003E0F5C">
        <w:rPr>
          <w:sz w:val="28"/>
          <w:szCs w:val="28"/>
        </w:rPr>
        <w:t xml:space="preserve"> for the recognition </w:t>
      </w:r>
      <w:r w:rsidRPr="003E0F5C">
        <w:rPr>
          <w:color w:val="auto"/>
          <w:sz w:val="28"/>
          <w:szCs w:val="28"/>
        </w:rPr>
        <w:t>of MSEA Caucuses; but only the Representative Assembly may revoke recognition</w:t>
      </w:r>
      <w:r w:rsidRPr="003E0F5C">
        <w:rPr>
          <w:sz w:val="28"/>
          <w:szCs w:val="28"/>
        </w:rPr>
        <w:t>.</w:t>
      </w:r>
    </w:p>
    <w:p w14:paraId="18EA9579" w14:textId="77777777" w:rsidR="003E0F5C" w:rsidRPr="003E0F5C" w:rsidRDefault="003E0F5C" w:rsidP="003E0F5C">
      <w:pPr>
        <w:pStyle w:val="Default"/>
        <w:rPr>
          <w:sz w:val="28"/>
          <w:szCs w:val="28"/>
        </w:rPr>
      </w:pPr>
      <w:r w:rsidRPr="003E0F5C">
        <w:rPr>
          <w:sz w:val="28"/>
          <w:szCs w:val="28"/>
        </w:rPr>
        <w:t xml:space="preserve">     j. act as the appellate body for members who have been censured, suspended, or expelled; </w:t>
      </w:r>
    </w:p>
    <w:p w14:paraId="7A74FC59" w14:textId="77777777" w:rsidR="003E0F5C" w:rsidRPr="003E0F5C" w:rsidRDefault="003E0F5C" w:rsidP="003E0F5C">
      <w:pPr>
        <w:pStyle w:val="Default"/>
        <w:rPr>
          <w:sz w:val="28"/>
          <w:szCs w:val="28"/>
        </w:rPr>
      </w:pPr>
      <w:r w:rsidRPr="003E0F5C">
        <w:rPr>
          <w:sz w:val="28"/>
          <w:szCs w:val="28"/>
        </w:rPr>
        <w:t xml:space="preserve">     k. </w:t>
      </w:r>
      <w:proofErr w:type="gramStart"/>
      <w:r w:rsidRPr="003E0F5C">
        <w:rPr>
          <w:sz w:val="28"/>
          <w:szCs w:val="28"/>
        </w:rPr>
        <w:t>determine</w:t>
      </w:r>
      <w:proofErr w:type="gramEnd"/>
      <w:r w:rsidRPr="003E0F5C">
        <w:rPr>
          <w:sz w:val="28"/>
          <w:szCs w:val="28"/>
        </w:rPr>
        <w:t xml:space="preserve"> the compensation of officers; and </w:t>
      </w:r>
    </w:p>
    <w:p w14:paraId="7501E7C7" w14:textId="77777777" w:rsidR="003E0F5C" w:rsidRPr="003E0F5C" w:rsidRDefault="003E0F5C" w:rsidP="003E0F5C">
      <w:pPr>
        <w:rPr>
          <w:rFonts w:cs="Times New Roman"/>
          <w:sz w:val="28"/>
          <w:szCs w:val="28"/>
        </w:rPr>
      </w:pPr>
      <w:r w:rsidRPr="003E0F5C">
        <w:rPr>
          <w:rFonts w:cs="Times New Roman"/>
          <w:sz w:val="28"/>
          <w:szCs w:val="28"/>
        </w:rPr>
        <w:t xml:space="preserve">     l. </w:t>
      </w:r>
      <w:proofErr w:type="gramStart"/>
      <w:r w:rsidRPr="003E0F5C">
        <w:rPr>
          <w:rFonts w:cs="Times New Roman"/>
          <w:sz w:val="28"/>
          <w:szCs w:val="28"/>
        </w:rPr>
        <w:t>perform</w:t>
      </w:r>
      <w:proofErr w:type="gramEnd"/>
      <w:r w:rsidRPr="003E0F5C">
        <w:rPr>
          <w:rFonts w:cs="Times New Roman"/>
          <w:sz w:val="28"/>
          <w:szCs w:val="28"/>
        </w:rPr>
        <w:t xml:space="preserve"> all other activities of the Association not specifically assigned in these bylaws to other bodies or persons.</w:t>
      </w:r>
    </w:p>
    <w:p w14:paraId="31999C83" w14:textId="77777777" w:rsidR="00A026E0" w:rsidRPr="00336743" w:rsidRDefault="00A026E0" w:rsidP="00336743">
      <w:pPr>
        <w:rPr>
          <w:rFonts w:cs="Times New Roman"/>
          <w:sz w:val="28"/>
          <w:szCs w:val="28"/>
        </w:rPr>
      </w:pPr>
    </w:p>
    <w:p w14:paraId="1C7E5014" w14:textId="72744992" w:rsidR="00336743" w:rsidRPr="00A60885" w:rsidRDefault="00336743" w:rsidP="00336743">
      <w:pPr>
        <w:rPr>
          <w:rFonts w:eastAsia="Times New Roman" w:cs="Times New Roman"/>
          <w:color w:val="auto"/>
          <w:sz w:val="28"/>
          <w:szCs w:val="28"/>
        </w:rPr>
      </w:pPr>
      <w:r w:rsidRPr="00A60885">
        <w:rPr>
          <w:rFonts w:eastAsia="Times New Roman" w:cs="Times New Roman"/>
          <w:b/>
          <w:bCs/>
          <w:i/>
          <w:iCs/>
          <w:sz w:val="28"/>
          <w:szCs w:val="28"/>
        </w:rPr>
        <w:t>Submitted By</w:t>
      </w:r>
      <w:r w:rsidRPr="00A60885">
        <w:rPr>
          <w:rFonts w:eastAsia="Times New Roman" w:cs="Times New Roman"/>
          <w:i/>
          <w:iCs/>
          <w:sz w:val="28"/>
          <w:szCs w:val="28"/>
        </w:rPr>
        <w:t>:  </w:t>
      </w:r>
      <w:r w:rsidR="00A026E0">
        <w:rPr>
          <w:rFonts w:eastAsia="Times New Roman" w:cs="Times New Roman"/>
          <w:i/>
          <w:iCs/>
          <w:sz w:val="28"/>
          <w:szCs w:val="28"/>
        </w:rPr>
        <w:t>More than the required ten</w:t>
      </w:r>
      <w:r>
        <w:rPr>
          <w:rFonts w:eastAsia="Times New Roman" w:cs="Times New Roman"/>
          <w:i/>
          <w:iCs/>
          <w:sz w:val="28"/>
          <w:szCs w:val="28"/>
        </w:rPr>
        <w:t xml:space="preserve"> MSEA </w:t>
      </w:r>
      <w:r w:rsidR="00A026E0">
        <w:rPr>
          <w:rFonts w:eastAsia="Times New Roman" w:cs="Times New Roman"/>
          <w:i/>
          <w:iCs/>
          <w:sz w:val="28"/>
          <w:szCs w:val="28"/>
        </w:rPr>
        <w:t>members</w:t>
      </w:r>
      <w:r>
        <w:rPr>
          <w:rFonts w:eastAsia="Times New Roman" w:cs="Times New Roman"/>
          <w:i/>
          <w:iCs/>
          <w:sz w:val="28"/>
          <w:szCs w:val="28"/>
        </w:rPr>
        <w:t xml:space="preserve">. </w:t>
      </w:r>
      <w:r w:rsidRPr="00A60885">
        <w:rPr>
          <w:rFonts w:eastAsia="Times New Roman" w:cs="Times New Roman"/>
          <w:i/>
          <w:iCs/>
          <w:sz w:val="28"/>
          <w:szCs w:val="28"/>
        </w:rPr>
        <w:t xml:space="preserve">Contact person: </w:t>
      </w:r>
      <w:r w:rsidR="00A026E0">
        <w:rPr>
          <w:rFonts w:eastAsia="Times New Roman" w:cs="Times New Roman"/>
          <w:i/>
          <w:iCs/>
          <w:sz w:val="28"/>
          <w:szCs w:val="28"/>
        </w:rPr>
        <w:t>Veronica Henderson</w:t>
      </w:r>
    </w:p>
    <w:p w14:paraId="50634BB6" w14:textId="6FBD729C" w:rsidR="00336743" w:rsidRPr="00336743" w:rsidRDefault="00336743" w:rsidP="00336743">
      <w:pPr>
        <w:rPr>
          <w:rFonts w:cs="Times New Roman"/>
          <w:sz w:val="28"/>
          <w:szCs w:val="28"/>
        </w:rPr>
      </w:pPr>
    </w:p>
    <w:p w14:paraId="51E2AAE1" w14:textId="28CFD090" w:rsidR="00336743" w:rsidRPr="00336743" w:rsidRDefault="00336743" w:rsidP="00336743">
      <w:pPr>
        <w:rPr>
          <w:rFonts w:cs="Times New Roman"/>
          <w:i/>
          <w:iCs/>
          <w:sz w:val="28"/>
          <w:szCs w:val="28"/>
        </w:rPr>
      </w:pPr>
      <w:r w:rsidRPr="00336743">
        <w:rPr>
          <w:rFonts w:cs="Times New Roman"/>
          <w:b/>
          <w:bCs/>
          <w:i/>
          <w:iCs/>
          <w:sz w:val="28"/>
          <w:szCs w:val="28"/>
        </w:rPr>
        <w:t>Transition</w:t>
      </w:r>
      <w:r w:rsidRPr="00336743">
        <w:rPr>
          <w:rFonts w:cs="Times New Roman"/>
          <w:i/>
          <w:iCs/>
          <w:sz w:val="28"/>
          <w:szCs w:val="28"/>
        </w:rPr>
        <w:t xml:space="preserve">: </w:t>
      </w:r>
      <w:r w:rsidRPr="00336743">
        <w:rPr>
          <w:i/>
          <w:iCs/>
          <w:sz w:val="28"/>
          <w:szCs w:val="28"/>
        </w:rPr>
        <w:t>The Bylaw amendment shall take effect immediately following adoption</w:t>
      </w:r>
      <w:r w:rsidR="00A026E0">
        <w:rPr>
          <w:i/>
          <w:iCs/>
          <w:sz w:val="28"/>
          <w:szCs w:val="28"/>
        </w:rPr>
        <w:t xml:space="preserve"> by the MSEA Representative Assembly</w:t>
      </w:r>
      <w:r w:rsidRPr="00336743">
        <w:rPr>
          <w:i/>
          <w:iCs/>
          <w:sz w:val="28"/>
          <w:szCs w:val="28"/>
        </w:rPr>
        <w:t>.</w:t>
      </w:r>
    </w:p>
    <w:p w14:paraId="5E5A976F" w14:textId="77777777" w:rsidR="00336743" w:rsidRPr="00336743" w:rsidRDefault="00336743" w:rsidP="00336743">
      <w:pPr>
        <w:rPr>
          <w:rFonts w:cs="Times New Roman"/>
          <w:i/>
          <w:iCs/>
          <w:sz w:val="28"/>
          <w:szCs w:val="28"/>
        </w:rPr>
      </w:pPr>
    </w:p>
    <w:p w14:paraId="4FFB5FEF" w14:textId="56CC9D65" w:rsidR="00336743" w:rsidRPr="00A026E0" w:rsidRDefault="00336743" w:rsidP="00336743">
      <w:pPr>
        <w:rPr>
          <w:rFonts w:cs="Times New Roman"/>
          <w:i/>
          <w:iCs/>
          <w:sz w:val="28"/>
          <w:szCs w:val="28"/>
        </w:rPr>
      </w:pPr>
      <w:r w:rsidRPr="00336743">
        <w:rPr>
          <w:rFonts w:cs="Times New Roman"/>
          <w:b/>
          <w:bCs/>
          <w:i/>
          <w:iCs/>
          <w:sz w:val="28"/>
          <w:szCs w:val="28"/>
        </w:rPr>
        <w:t>Intent</w:t>
      </w:r>
      <w:r w:rsidRPr="00A026E0">
        <w:rPr>
          <w:rFonts w:cs="Times New Roman"/>
          <w:i/>
          <w:iCs/>
          <w:sz w:val="28"/>
          <w:szCs w:val="28"/>
        </w:rPr>
        <w:t xml:space="preserve">:  </w:t>
      </w:r>
      <w:r w:rsidR="00A026E0" w:rsidRPr="00A026E0">
        <w:rPr>
          <w:i/>
          <w:iCs/>
          <w:sz w:val="28"/>
          <w:szCs w:val="28"/>
        </w:rPr>
        <w:t>The intent of this proposed amendment is designed to cover what other duties that may be assigned or designated to the Board in the future that are not specifically noted in the list of items specified in the current Bylaws.</w:t>
      </w:r>
    </w:p>
    <w:p w14:paraId="5169A856" w14:textId="77777777" w:rsidR="00336743" w:rsidRPr="00336743" w:rsidRDefault="00336743" w:rsidP="00336743">
      <w:pPr>
        <w:rPr>
          <w:rFonts w:cs="Times New Roman"/>
          <w:i/>
          <w:iCs/>
          <w:sz w:val="28"/>
          <w:szCs w:val="28"/>
        </w:rPr>
      </w:pPr>
    </w:p>
    <w:p w14:paraId="37B53F6B" w14:textId="626269CB" w:rsidR="00211409" w:rsidRPr="00A026E0" w:rsidRDefault="00336743" w:rsidP="00A026E0">
      <w:pPr>
        <w:rPr>
          <w:sz w:val="28"/>
          <w:szCs w:val="28"/>
        </w:rPr>
      </w:pPr>
      <w:r w:rsidRPr="00336743">
        <w:rPr>
          <w:rFonts w:cs="Times New Roman"/>
          <w:b/>
          <w:bCs/>
          <w:i/>
          <w:iCs/>
          <w:sz w:val="28"/>
          <w:szCs w:val="28"/>
        </w:rPr>
        <w:t>Rationale</w:t>
      </w:r>
      <w:r w:rsidRPr="00336743">
        <w:rPr>
          <w:rFonts w:cs="Times New Roman"/>
          <w:i/>
          <w:iCs/>
          <w:sz w:val="28"/>
          <w:szCs w:val="28"/>
        </w:rPr>
        <w:t xml:space="preserve">:  </w:t>
      </w:r>
      <w:r w:rsidR="00A026E0" w:rsidRPr="00A026E0">
        <w:rPr>
          <w:i/>
          <w:iCs/>
          <w:sz w:val="28"/>
          <w:szCs w:val="28"/>
        </w:rPr>
        <w:t>The rationale, if approved by the MSEA Representative Assembly, is to give the Board built-in protection or a safety net regarding future powers it may need to take on or have to assume due to unforeseen circumstances or situations without having to specify each and every power in a laundry list as is currently displayed. As such, said power for the Board should be designated by and voted on by the Representative Assembly.</w:t>
      </w:r>
    </w:p>
    <w:sectPr w:rsidR="00211409" w:rsidRPr="00A026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F064" w14:textId="77777777" w:rsidR="00A46EB6" w:rsidRDefault="00A46EB6" w:rsidP="00316251">
      <w:r>
        <w:separator/>
      </w:r>
    </w:p>
  </w:endnote>
  <w:endnote w:type="continuationSeparator" w:id="0">
    <w:p w14:paraId="29DFE880" w14:textId="77777777" w:rsidR="00A46EB6" w:rsidRDefault="00A46EB6" w:rsidP="003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Baskervil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43761"/>
      <w:docPartObj>
        <w:docPartGallery w:val="Page Numbers (Bottom of Page)"/>
        <w:docPartUnique/>
      </w:docPartObj>
    </w:sdtPr>
    <w:sdtEndPr>
      <w:rPr>
        <w:noProof/>
      </w:rPr>
    </w:sdtEndPr>
    <w:sdtContent>
      <w:p w14:paraId="02022E0F" w14:textId="77777777" w:rsidR="00316251" w:rsidRDefault="00316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D960B" w14:textId="77777777" w:rsidR="00316251" w:rsidRDefault="0031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1780" w14:textId="77777777" w:rsidR="00A46EB6" w:rsidRDefault="00A46EB6" w:rsidP="00316251">
      <w:r>
        <w:separator/>
      </w:r>
    </w:p>
  </w:footnote>
  <w:footnote w:type="continuationSeparator" w:id="0">
    <w:p w14:paraId="5954F362" w14:textId="77777777" w:rsidR="00A46EB6" w:rsidRDefault="00A46EB6" w:rsidP="0031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BE5"/>
    <w:multiLevelType w:val="hybridMultilevel"/>
    <w:tmpl w:val="8CD2DB0A"/>
    <w:lvl w:ilvl="0" w:tplc="A0324F72">
      <w:start w:val="1"/>
      <w:numFmt w:val="lowerLetter"/>
      <w:lvlText w:val="%1."/>
      <w:lvlJc w:val="left"/>
      <w:pPr>
        <w:ind w:left="780" w:hanging="360"/>
      </w:pPr>
      <w:rPr>
        <w:rFonts w:ascii="Times New Roman" w:hAnsi="Times New Roman"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F9E52FA"/>
    <w:multiLevelType w:val="multilevel"/>
    <w:tmpl w:val="EDC2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480169"/>
    <w:multiLevelType w:val="hybridMultilevel"/>
    <w:tmpl w:val="337C733E"/>
    <w:lvl w:ilvl="0" w:tplc="2788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867D38"/>
    <w:multiLevelType w:val="hybridMultilevel"/>
    <w:tmpl w:val="1EDAD534"/>
    <w:lvl w:ilvl="0" w:tplc="A76C5F4C">
      <w:start w:val="1"/>
      <w:numFmt w:val="lowerLetter"/>
      <w:lvlText w:val="%1."/>
      <w:lvlJc w:val="left"/>
      <w:pPr>
        <w:ind w:left="1080" w:hanging="360"/>
      </w:pPr>
      <w:rPr>
        <w:rFonts w:ascii="Times New Roman" w:hAnsi="Times New Roman"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27603B"/>
    <w:multiLevelType w:val="hybridMultilevel"/>
    <w:tmpl w:val="B48CD312"/>
    <w:lvl w:ilvl="0" w:tplc="4CF60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E572CA"/>
    <w:multiLevelType w:val="hybridMultilevel"/>
    <w:tmpl w:val="66E83E48"/>
    <w:lvl w:ilvl="0" w:tplc="D14E2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73"/>
    <w:rsid w:val="00044A52"/>
    <w:rsid w:val="000A305A"/>
    <w:rsid w:val="000B42BA"/>
    <w:rsid w:val="001538D7"/>
    <w:rsid w:val="001C0713"/>
    <w:rsid w:val="00211409"/>
    <w:rsid w:val="002A092C"/>
    <w:rsid w:val="00304735"/>
    <w:rsid w:val="00316251"/>
    <w:rsid w:val="00336743"/>
    <w:rsid w:val="00371968"/>
    <w:rsid w:val="0039562C"/>
    <w:rsid w:val="003E0F5C"/>
    <w:rsid w:val="00443991"/>
    <w:rsid w:val="00460180"/>
    <w:rsid w:val="005C4EFC"/>
    <w:rsid w:val="00626F73"/>
    <w:rsid w:val="006508D4"/>
    <w:rsid w:val="006D79FF"/>
    <w:rsid w:val="007E5885"/>
    <w:rsid w:val="008C0079"/>
    <w:rsid w:val="008C4DA3"/>
    <w:rsid w:val="008E0F98"/>
    <w:rsid w:val="009D43E1"/>
    <w:rsid w:val="00A026E0"/>
    <w:rsid w:val="00A46EB6"/>
    <w:rsid w:val="00A515DC"/>
    <w:rsid w:val="00A52183"/>
    <w:rsid w:val="00A60885"/>
    <w:rsid w:val="00AD3448"/>
    <w:rsid w:val="00BD11D2"/>
    <w:rsid w:val="00BD774F"/>
    <w:rsid w:val="00BE59D5"/>
    <w:rsid w:val="00C6520F"/>
    <w:rsid w:val="00C75F82"/>
    <w:rsid w:val="00D54B8B"/>
    <w:rsid w:val="00DC00B1"/>
    <w:rsid w:val="00E6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8EA2"/>
  <w15:docId w15:val="{157217E1-7D98-4C08-A721-E8CE7DF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73"/>
  </w:style>
  <w:style w:type="paragraph" w:styleId="Heading2">
    <w:name w:val="heading 2"/>
    <w:basedOn w:val="Normal"/>
    <w:link w:val="Heading2Char"/>
    <w:uiPriority w:val="9"/>
    <w:qFormat/>
    <w:rsid w:val="00D54B8B"/>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B8B"/>
    <w:rPr>
      <w:rFonts w:eastAsia="Times New Roman" w:cs="Times New Roman"/>
      <w:b/>
      <w:bCs/>
      <w:color w:val="auto"/>
      <w:sz w:val="36"/>
      <w:szCs w:val="36"/>
    </w:rPr>
  </w:style>
  <w:style w:type="paragraph" w:styleId="NormalWeb">
    <w:name w:val="Normal (Web)"/>
    <w:basedOn w:val="Normal"/>
    <w:uiPriority w:val="99"/>
    <w:semiHidden/>
    <w:unhideWhenUsed/>
    <w:rsid w:val="00D54B8B"/>
    <w:pPr>
      <w:spacing w:before="100" w:beforeAutospacing="1" w:after="100" w:afterAutospacing="1"/>
    </w:pPr>
    <w:rPr>
      <w:rFonts w:eastAsia="Times New Roman" w:cs="Times New Roman"/>
      <w:color w:val="auto"/>
      <w:szCs w:val="24"/>
    </w:rPr>
  </w:style>
  <w:style w:type="paragraph" w:styleId="Header">
    <w:name w:val="header"/>
    <w:basedOn w:val="Normal"/>
    <w:link w:val="HeaderChar"/>
    <w:uiPriority w:val="99"/>
    <w:unhideWhenUsed/>
    <w:rsid w:val="00316251"/>
    <w:pPr>
      <w:tabs>
        <w:tab w:val="center" w:pos="4680"/>
        <w:tab w:val="right" w:pos="9360"/>
      </w:tabs>
    </w:pPr>
  </w:style>
  <w:style w:type="character" w:customStyle="1" w:styleId="HeaderChar">
    <w:name w:val="Header Char"/>
    <w:basedOn w:val="DefaultParagraphFont"/>
    <w:link w:val="Header"/>
    <w:uiPriority w:val="99"/>
    <w:rsid w:val="00316251"/>
  </w:style>
  <w:style w:type="paragraph" w:styleId="Footer">
    <w:name w:val="footer"/>
    <w:basedOn w:val="Normal"/>
    <w:link w:val="FooterChar"/>
    <w:uiPriority w:val="99"/>
    <w:unhideWhenUsed/>
    <w:rsid w:val="00316251"/>
    <w:pPr>
      <w:tabs>
        <w:tab w:val="center" w:pos="4680"/>
        <w:tab w:val="right" w:pos="9360"/>
      </w:tabs>
    </w:pPr>
  </w:style>
  <w:style w:type="character" w:customStyle="1" w:styleId="FooterChar">
    <w:name w:val="Footer Char"/>
    <w:basedOn w:val="DefaultParagraphFont"/>
    <w:link w:val="Footer"/>
    <w:uiPriority w:val="99"/>
    <w:rsid w:val="00316251"/>
  </w:style>
  <w:style w:type="paragraph" w:styleId="ListParagraph">
    <w:name w:val="List Paragraph"/>
    <w:basedOn w:val="Normal"/>
    <w:uiPriority w:val="34"/>
    <w:qFormat/>
    <w:rsid w:val="006D79FF"/>
    <w:pPr>
      <w:ind w:left="720"/>
      <w:contextualSpacing/>
    </w:pPr>
  </w:style>
  <w:style w:type="paragraph" w:customStyle="1" w:styleId="Default">
    <w:name w:val="Default"/>
    <w:rsid w:val="003E0F5C"/>
    <w:pPr>
      <w:autoSpaceDE w:val="0"/>
      <w:autoSpaceDN w:val="0"/>
      <w:adjustRightInd w:val="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dfelton</dc:creator>
  <cp:lastModifiedBy>Felton, Damon [MD]</cp:lastModifiedBy>
  <cp:revision>2</cp:revision>
  <dcterms:created xsi:type="dcterms:W3CDTF">2020-08-27T19:43:00Z</dcterms:created>
  <dcterms:modified xsi:type="dcterms:W3CDTF">2020-08-27T19:43:00Z</dcterms:modified>
</cp:coreProperties>
</file>